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58BB881D" w:rsidR="0097613F" w:rsidRPr="008329B5" w:rsidRDefault="009B2DC8" w:rsidP="00182092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E512A7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8329B5">
        <w:rPr>
          <w:rFonts w:ascii="Verdana" w:hAnsi="Verdana"/>
          <w:b/>
          <w:bCs/>
          <w:sz w:val="20"/>
          <w:szCs w:val="20"/>
        </w:rPr>
        <w:t>2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–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Zasady postępowania</w:t>
      </w:r>
    </w:p>
    <w:p w14:paraId="195EAB40" w14:textId="77777777" w:rsidR="0097613F" w:rsidRPr="009B2DC8" w:rsidRDefault="0097613F" w:rsidP="00182092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5FDC7CAE" w14:textId="1AF5F7C5" w:rsidR="0097613F" w:rsidRPr="009B2DC8" w:rsidRDefault="0097613F" w:rsidP="00182092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4883841F" w14:textId="77777777" w:rsidR="00746593" w:rsidRDefault="00746593" w:rsidP="00182092">
      <w:pPr>
        <w:spacing w:after="0" w:line="360" w:lineRule="auto"/>
        <w:ind w:right="19"/>
        <w:jc w:val="both"/>
        <w:rPr>
          <w:rFonts w:ascii="Verdana" w:hAnsi="Verdana"/>
          <w:b/>
          <w:sz w:val="20"/>
          <w:szCs w:val="20"/>
        </w:rPr>
      </w:pPr>
      <w:r w:rsidRPr="00746593">
        <w:rPr>
          <w:rFonts w:ascii="Verdana" w:hAnsi="Verdana"/>
          <w:b/>
          <w:sz w:val="20"/>
          <w:szCs w:val="20"/>
        </w:rPr>
        <w:t xml:space="preserve">„Sprawowanie funkcji inspektora nadzoru przy realizacji zadania pn. „Budowa drogi dla pieszych z niezbędnym oświetleniem w ciągu drogi krajowej nr 43 w m. Kałuże w woj. łódzkim(15+910)” </w:t>
      </w:r>
    </w:p>
    <w:p w14:paraId="534E8840" w14:textId="59FFE1BA" w:rsidR="0051035B" w:rsidRPr="009B2DC8" w:rsidRDefault="0051035B" w:rsidP="00182092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9B2DC8" w:rsidRDefault="0051035B" w:rsidP="00182092">
      <w:pPr>
        <w:numPr>
          <w:ilvl w:val="0"/>
          <w:numId w:val="1"/>
        </w:numPr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5DC5EB0E" w14:textId="30AB6560" w:rsidR="00A313B7" w:rsidRDefault="0051035B" w:rsidP="00182092">
      <w:pPr>
        <w:spacing w:after="0" w:line="360" w:lineRule="auto"/>
        <w:ind w:left="369" w:right="19"/>
        <w:jc w:val="both"/>
        <w:rPr>
          <w:rStyle w:val="Hipercze"/>
          <w:rFonts w:ascii="Verdana" w:hAnsi="Verdana"/>
          <w:color w:val="auto"/>
          <w:sz w:val="20"/>
          <w:szCs w:val="20"/>
          <w:u w:val="none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Łodzi, Rejon w Wieluniu,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ul. 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Fabryczna 7, 98-300 Wieluń,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bądź drogą elektr</w:t>
      </w: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  <w:hyperlink r:id="rId7" w:history="1">
        <w:r w:rsidR="009359EA" w:rsidRPr="008C5690">
          <w:rPr>
            <w:rStyle w:val="Hipercze"/>
            <w:rFonts w:ascii="Verdana" w:hAnsi="Verdana"/>
            <w:sz w:val="20"/>
            <w:szCs w:val="20"/>
          </w:rPr>
          <w:t>mgolec@gddkia.gov.pl</w:t>
        </w:r>
      </w:hyperlink>
      <w:r w:rsidR="00A313B7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</w:t>
      </w:r>
    </w:p>
    <w:p w14:paraId="410C120E" w14:textId="2FFB7BB7" w:rsidR="00A8187F" w:rsidRPr="009B2DC8" w:rsidRDefault="00A313B7" w:rsidP="00182092">
      <w:pPr>
        <w:spacing w:after="0" w:line="360" w:lineRule="auto"/>
        <w:ind w:left="369" w:right="1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55DFE680" w14:textId="6F91A24B" w:rsidR="0051035B" w:rsidRPr="009B2DC8" w:rsidRDefault="0051035B" w:rsidP="00182092">
      <w:pPr>
        <w:spacing w:after="0" w:line="360" w:lineRule="auto"/>
        <w:ind w:left="369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099AADCC" w14:textId="77777777" w:rsidR="0051035B" w:rsidRPr="009B2DC8" w:rsidRDefault="0051035B" w:rsidP="00182092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E0A10CD" w14:textId="77777777" w:rsidR="0051035B" w:rsidRPr="009B2DC8" w:rsidRDefault="0051035B" w:rsidP="00182092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Formularza Oferty i/lub Kosztorysu ofertowego/cenowego; </w:t>
      </w:r>
    </w:p>
    <w:p w14:paraId="333349F6" w14:textId="435CE493" w:rsidR="0051035B" w:rsidRPr="009B2DC8" w:rsidRDefault="0051035B" w:rsidP="00182092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0E611D12" w:rsidR="0051035B" w:rsidRPr="009B2DC8" w:rsidRDefault="0051035B" w:rsidP="00182092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ceny;</w:t>
      </w:r>
    </w:p>
    <w:p w14:paraId="630D5F38" w14:textId="77777777" w:rsidR="0051035B" w:rsidRPr="009B2DC8" w:rsidRDefault="0051035B" w:rsidP="00182092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1DEB1208" w14:textId="77777777" w:rsidR="00A313B7" w:rsidRDefault="0051035B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532E92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390A4A30" w14:textId="77777777" w:rsidR="00A313B7" w:rsidRDefault="00632AFD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oferty powinna obejmować całkowity koszt wykonania przedmiotu zamówienia, w tym również wszelkie koszty towarzyszące wykonaniu. </w:t>
      </w:r>
    </w:p>
    <w:p w14:paraId="65C34C44" w14:textId="77777777" w:rsidR="00A313B7" w:rsidRDefault="00632AFD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59765F6" w14:textId="7508982F" w:rsidR="0051035B" w:rsidRPr="00A313B7" w:rsidRDefault="0051035B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9B2DC8" w:rsidRDefault="0051035B" w:rsidP="00182092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9FDD8A6" w14:textId="77777777" w:rsidR="00A313B7" w:rsidRDefault="0051035B" w:rsidP="00182092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833B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35CAF9E3" w:rsidR="00632AFD" w:rsidRPr="00A313B7" w:rsidRDefault="00632AFD" w:rsidP="00182092">
      <w:pPr>
        <w:pStyle w:val="Akapitzlist"/>
        <w:numPr>
          <w:ilvl w:val="0"/>
          <w:numId w:val="1"/>
        </w:numPr>
        <w:spacing w:after="0" w:line="360" w:lineRule="auto"/>
        <w:ind w:left="0" w:right="4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A313B7">
        <w:rPr>
          <w:rFonts w:ascii="Verdana" w:hAnsi="Verdana"/>
          <w:sz w:val="20"/>
          <w:szCs w:val="20"/>
        </w:rPr>
        <w:t xml:space="preserve">formularzu ofertowym i formularzu </w:t>
      </w:r>
      <w:r w:rsidR="00A313B7">
        <w:rPr>
          <w:rFonts w:ascii="Verdana" w:hAnsi="Verdana"/>
          <w:sz w:val="20"/>
          <w:szCs w:val="20"/>
        </w:rPr>
        <w:t>wyceny</w:t>
      </w:r>
      <w:r w:rsidR="007F3914" w:rsidRPr="00A313B7">
        <w:rPr>
          <w:rFonts w:ascii="Verdana" w:hAnsi="Verdana"/>
          <w:sz w:val="20"/>
          <w:szCs w:val="20"/>
        </w:rPr>
        <w:t>)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59B78CD2" w14:textId="77777777" w:rsidR="0051035B" w:rsidRPr="009B2DC8" w:rsidRDefault="0051035B" w:rsidP="00182092">
      <w:pPr>
        <w:numPr>
          <w:ilvl w:val="0"/>
          <w:numId w:val="1"/>
        </w:numPr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71A22B0E" w14:textId="302E14F8" w:rsidR="0051035B" w:rsidRPr="009B2DC8" w:rsidRDefault="0051035B" w:rsidP="00182092">
      <w:pPr>
        <w:numPr>
          <w:ilvl w:val="0"/>
          <w:numId w:val="1"/>
        </w:numPr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 xml:space="preserve">Zbadania czy cena danej oferty nie jest rażąco niska (obowiązek wykazania, że oferta nie zawiera rażąco niskiej ceny spoczywa na </w:t>
      </w:r>
      <w:r w:rsidR="0068567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ykonawcy)</w:t>
      </w:r>
      <w:r w:rsidR="0097613F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0912C58" w14:textId="421AA01F" w:rsidR="00182092" w:rsidRDefault="008D18EF" w:rsidP="00182092">
      <w:pPr>
        <w:numPr>
          <w:ilvl w:val="0"/>
          <w:numId w:val="1"/>
        </w:numPr>
        <w:spacing w:after="0" w:line="360" w:lineRule="auto"/>
        <w:ind w:left="284"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0627E03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63A44CC9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19700E2C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72EA252B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024DB6E4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692A25DC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16F44E33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127DAFBD" w14:textId="77496880" w:rsid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01863A4A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2CED5997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7ED90A13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35B145AB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3CD80196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D1CA938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37D16CFD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4AAD59C4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2E9654E1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3129915D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4F3FD6D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1E8FB2A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29F02B9A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5E65A2DA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2039F9D4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0166EF32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AEB81D7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7BEB0DF1" w:rsidR="00182092" w:rsidRPr="00943531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943531">
        <w:rPr>
          <w:rFonts w:ascii="Verdana" w:hAnsi="Verdana"/>
          <w:sz w:val="20"/>
          <w:szCs w:val="20"/>
          <w:u w:val="single"/>
        </w:rPr>
        <w:t>Sporządził</w:t>
      </w:r>
      <w:r w:rsidR="0027598D">
        <w:rPr>
          <w:rFonts w:ascii="Verdana" w:hAnsi="Verdana"/>
          <w:sz w:val="20"/>
          <w:szCs w:val="20"/>
          <w:u w:val="single"/>
        </w:rPr>
        <w:t>a</w:t>
      </w:r>
      <w:r w:rsidRPr="00943531">
        <w:rPr>
          <w:rFonts w:ascii="Verdana" w:hAnsi="Verdana"/>
          <w:sz w:val="20"/>
          <w:szCs w:val="20"/>
          <w:u w:val="single"/>
        </w:rPr>
        <w:t xml:space="preserve">: </w:t>
      </w:r>
    </w:p>
    <w:p w14:paraId="563AF4E7" w14:textId="279541C6" w:rsidR="00632AFD" w:rsidRPr="00182092" w:rsidRDefault="009359EA" w:rsidP="004A5171">
      <w:pPr>
        <w:tabs>
          <w:tab w:val="left" w:pos="0"/>
        </w:tabs>
        <w:spacing w:after="0" w:line="360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Mieczysław Golec </w:t>
      </w:r>
      <w:bookmarkStart w:id="0" w:name="_GoBack"/>
      <w:bookmarkEnd w:id="0"/>
    </w:p>
    <w:sectPr w:rsidR="00632AFD" w:rsidRPr="00182092">
      <w:footerReference w:type="default" r:id="rId8"/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5EC58" w14:textId="77777777" w:rsidR="00043718" w:rsidRDefault="00043718" w:rsidP="00A313B7">
      <w:pPr>
        <w:spacing w:after="0" w:line="240" w:lineRule="auto"/>
      </w:pPr>
      <w:r>
        <w:separator/>
      </w:r>
    </w:p>
  </w:endnote>
  <w:endnote w:type="continuationSeparator" w:id="0">
    <w:p w14:paraId="497B173F" w14:textId="77777777" w:rsidR="00043718" w:rsidRDefault="00043718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D7AE298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_________________________________________________________________________________________Zasady postępowania</w:t>
    </w:r>
  </w:p>
  <w:p w14:paraId="69204363" w14:textId="0634EB61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9359EA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9359EA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91F5E" w14:textId="77777777" w:rsidR="00043718" w:rsidRDefault="00043718" w:rsidP="00A313B7">
      <w:pPr>
        <w:spacing w:after="0" w:line="240" w:lineRule="auto"/>
      </w:pPr>
      <w:r>
        <w:separator/>
      </w:r>
    </w:p>
  </w:footnote>
  <w:footnote w:type="continuationSeparator" w:id="0">
    <w:p w14:paraId="0E183683" w14:textId="77777777" w:rsidR="00043718" w:rsidRDefault="00043718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43718"/>
    <w:rsid w:val="000B57C8"/>
    <w:rsid w:val="00182092"/>
    <w:rsid w:val="001A3281"/>
    <w:rsid w:val="0027598D"/>
    <w:rsid w:val="002E1BEC"/>
    <w:rsid w:val="0032329F"/>
    <w:rsid w:val="00366CE0"/>
    <w:rsid w:val="0042050B"/>
    <w:rsid w:val="00431421"/>
    <w:rsid w:val="004A5171"/>
    <w:rsid w:val="0051035B"/>
    <w:rsid w:val="00532E92"/>
    <w:rsid w:val="00597271"/>
    <w:rsid w:val="005E7FAD"/>
    <w:rsid w:val="00615F0C"/>
    <w:rsid w:val="00622ADD"/>
    <w:rsid w:val="00632AFD"/>
    <w:rsid w:val="0068567D"/>
    <w:rsid w:val="006F154F"/>
    <w:rsid w:val="00746593"/>
    <w:rsid w:val="0077605A"/>
    <w:rsid w:val="007B0178"/>
    <w:rsid w:val="007F3914"/>
    <w:rsid w:val="008329B5"/>
    <w:rsid w:val="00833BC8"/>
    <w:rsid w:val="008D18EF"/>
    <w:rsid w:val="00922EAA"/>
    <w:rsid w:val="009359EA"/>
    <w:rsid w:val="00937112"/>
    <w:rsid w:val="0097613F"/>
    <w:rsid w:val="009B2DC8"/>
    <w:rsid w:val="009B55EC"/>
    <w:rsid w:val="009C68F4"/>
    <w:rsid w:val="009D383A"/>
    <w:rsid w:val="009D6159"/>
    <w:rsid w:val="00A313B7"/>
    <w:rsid w:val="00A8187F"/>
    <w:rsid w:val="00A849C8"/>
    <w:rsid w:val="00AC60AB"/>
    <w:rsid w:val="00C50D0D"/>
    <w:rsid w:val="00CC4834"/>
    <w:rsid w:val="00CD1B80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golec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Golec Mieczysław</cp:lastModifiedBy>
  <cp:revision>3</cp:revision>
  <cp:lastPrinted>2023-01-03T13:26:00Z</cp:lastPrinted>
  <dcterms:created xsi:type="dcterms:W3CDTF">2025-04-07T05:35:00Z</dcterms:created>
  <dcterms:modified xsi:type="dcterms:W3CDTF">2025-04-07T05:36:00Z</dcterms:modified>
</cp:coreProperties>
</file>